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619" w:leftChars="-295"/>
        <w:jc w:val="left"/>
        <w:rPr>
          <w:rFonts w:ascii="宋体" w:hAnsi="宋体"/>
          <w:sz w:val="36"/>
          <w:szCs w:val="36"/>
        </w:rPr>
      </w:pPr>
      <w:r>
        <w:rPr>
          <w:rFonts w:hint="eastAsia" w:ascii="宋体" w:hAnsi="宋体" w:cs="仿宋_GB2312"/>
          <w:sz w:val="36"/>
          <w:szCs w:val="36"/>
        </w:rPr>
        <w:t>附件1：中山二院摇珠选定破产管理人轮候状态一览表</w:t>
      </w:r>
      <w:bookmarkStart w:id="0" w:name="_GoBack"/>
      <w:bookmarkEnd w:id="0"/>
    </w:p>
    <w:tbl>
      <w:tblPr>
        <w:tblStyle w:val="7"/>
        <w:tblW w:w="9861" w:type="dxa"/>
        <w:jc w:val="center"/>
        <w:tblInd w:w="0" w:type="dxa"/>
        <w:tblLayout w:type="fixed"/>
        <w:tblCellMar>
          <w:top w:w="0" w:type="dxa"/>
          <w:left w:w="108" w:type="dxa"/>
          <w:bottom w:w="0" w:type="dxa"/>
          <w:right w:w="108" w:type="dxa"/>
        </w:tblCellMar>
      </w:tblPr>
      <w:tblGrid>
        <w:gridCol w:w="764"/>
        <w:gridCol w:w="3562"/>
        <w:gridCol w:w="667"/>
        <w:gridCol w:w="916"/>
        <w:gridCol w:w="536"/>
        <w:gridCol w:w="881"/>
        <w:gridCol w:w="256"/>
        <w:gridCol w:w="965"/>
        <w:gridCol w:w="169"/>
        <w:gridCol w:w="1145"/>
      </w:tblGrid>
      <w:tr>
        <w:tblPrEx>
          <w:tblLayout w:type="fixed"/>
          <w:tblCellMar>
            <w:top w:w="0" w:type="dxa"/>
            <w:left w:w="108" w:type="dxa"/>
            <w:bottom w:w="0" w:type="dxa"/>
            <w:right w:w="108" w:type="dxa"/>
          </w:tblCellMar>
        </w:tblPrEx>
        <w:trPr>
          <w:trHeight w:val="495" w:hRule="atLeast"/>
          <w:jc w:val="center"/>
        </w:trPr>
        <w:tc>
          <w:tcPr>
            <w:tcW w:w="9861" w:type="dxa"/>
            <w:gridSpan w:val="10"/>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Calibri"/>
                <w:b/>
                <w:bCs/>
                <w:color w:val="000000"/>
                <w:kern w:val="0"/>
                <w:sz w:val="30"/>
                <w:szCs w:val="30"/>
              </w:rPr>
            </w:pPr>
            <w:r>
              <w:rPr>
                <w:rFonts w:hint="eastAsia" w:ascii="宋体" w:hAnsi="宋体" w:cs="宋体"/>
                <w:b/>
                <w:bCs/>
                <w:color w:val="000000"/>
                <w:kern w:val="0"/>
                <w:sz w:val="30"/>
                <w:szCs w:val="30"/>
              </w:rPr>
              <w:t>中山法院摇珠选定二级破产管理人轮候状态一览表</w:t>
            </w:r>
          </w:p>
        </w:tc>
      </w:tr>
      <w:tr>
        <w:tblPrEx>
          <w:tblLayout w:type="fixed"/>
          <w:tblCellMar>
            <w:top w:w="0" w:type="dxa"/>
            <w:left w:w="108" w:type="dxa"/>
            <w:bottom w:w="0" w:type="dxa"/>
            <w:right w:w="108" w:type="dxa"/>
          </w:tblCellMar>
        </w:tblPrEx>
        <w:trPr>
          <w:trHeight w:val="455" w:hRule="atLeast"/>
          <w:jc w:val="center"/>
        </w:trPr>
        <w:tc>
          <w:tcPr>
            <w:tcW w:w="76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摇珠编码</w:t>
            </w:r>
          </w:p>
        </w:tc>
        <w:tc>
          <w:tcPr>
            <w:tcW w:w="3562"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管理人名称</w:t>
            </w:r>
          </w:p>
        </w:tc>
        <w:tc>
          <w:tcPr>
            <w:tcW w:w="3000"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第一轮</w:t>
            </w:r>
          </w:p>
        </w:tc>
        <w:tc>
          <w:tcPr>
            <w:tcW w:w="2535"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第二轮</w:t>
            </w:r>
          </w:p>
        </w:tc>
      </w:tr>
      <w:tr>
        <w:tblPrEx>
          <w:tblLayout w:type="fixed"/>
          <w:tblCellMar>
            <w:top w:w="0" w:type="dxa"/>
            <w:left w:w="108" w:type="dxa"/>
            <w:bottom w:w="0" w:type="dxa"/>
            <w:right w:w="108" w:type="dxa"/>
          </w:tblCellMar>
        </w:tblPrEx>
        <w:trPr>
          <w:trHeight w:val="404" w:hRule="atLeast"/>
          <w:jc w:val="center"/>
        </w:trPr>
        <w:tc>
          <w:tcPr>
            <w:tcW w:w="7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Calibri"/>
                <w:b/>
                <w:bCs/>
                <w:color w:val="000000"/>
                <w:kern w:val="0"/>
                <w:sz w:val="22"/>
                <w:szCs w:val="21"/>
              </w:rPr>
            </w:pPr>
          </w:p>
        </w:tc>
        <w:tc>
          <w:tcPr>
            <w:tcW w:w="356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Calibri"/>
                <w:b/>
                <w:bCs/>
                <w:color w:val="000000"/>
                <w:kern w:val="0"/>
                <w:sz w:val="22"/>
                <w:szCs w:val="21"/>
              </w:rPr>
            </w:pP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法院名称</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摇中日期</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法院名称</w:t>
            </w: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摇中日期</w:t>
            </w:r>
          </w:p>
        </w:tc>
      </w:tr>
      <w:tr>
        <w:tblPrEx>
          <w:tblLayout w:type="fixed"/>
          <w:tblCellMar>
            <w:top w:w="0" w:type="dxa"/>
            <w:left w:w="108" w:type="dxa"/>
            <w:bottom w:w="0" w:type="dxa"/>
            <w:right w:w="108" w:type="dxa"/>
          </w:tblCellMar>
        </w:tblPrEx>
        <w:trPr>
          <w:trHeight w:val="357"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3562"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kern w:val="0"/>
                <w:sz w:val="22"/>
                <w:szCs w:val="22"/>
              </w:rPr>
              <w:t>中山市成诺会计师事务所有限公司</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25.10.16</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357"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2</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广东千里行律师事务所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25.8.5</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77"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3</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广东雅商律师事务所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hint="eastAsia" w:ascii="宋体" w:hAnsi="Calibri" w:eastAsia="宋体"/>
                <w:color w:val="000000"/>
                <w:kern w:val="0"/>
                <w:sz w:val="22"/>
                <w:szCs w:val="21"/>
                <w:lang w:val="en-US" w:eastAsia="zh-CN"/>
              </w:rPr>
            </w:pPr>
            <w:r>
              <w:rPr>
                <w:rFonts w:hint="eastAsia" w:ascii="宋体" w:hAnsi="Calibri"/>
                <w:color w:val="000000"/>
                <w:kern w:val="0"/>
                <w:sz w:val="22"/>
                <w:szCs w:val="21"/>
                <w:lang w:val="en-US" w:eastAsia="zh-CN"/>
              </w:rPr>
              <w:t>25.10.23</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25"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4</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广东万里海天律师事务所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01"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5</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广东弘力律师事务所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91"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广东正鸿律师事务所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67"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广东中亿律师事务所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25.2.25</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15"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8</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广东卓正律师事务所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25.4.3</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464" w:hRule="atLeast"/>
          <w:jc w:val="center"/>
        </w:trPr>
        <w:tc>
          <w:tcPr>
            <w:tcW w:w="9861" w:type="dxa"/>
            <w:gridSpan w:val="10"/>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Calibri"/>
                <w:b/>
                <w:bCs/>
                <w:color w:val="000000"/>
                <w:kern w:val="0"/>
                <w:sz w:val="30"/>
                <w:szCs w:val="30"/>
              </w:rPr>
            </w:pPr>
            <w:r>
              <w:rPr>
                <w:rFonts w:hint="eastAsia" w:ascii="宋体" w:hAnsi="宋体" w:cs="宋体"/>
                <w:b/>
                <w:bCs/>
                <w:color w:val="000000"/>
                <w:kern w:val="0"/>
                <w:sz w:val="30"/>
                <w:szCs w:val="30"/>
              </w:rPr>
              <w:t>中山法院摇珠选定三级破产管理人轮候状态一览表</w:t>
            </w:r>
          </w:p>
        </w:tc>
      </w:tr>
      <w:tr>
        <w:tblPrEx>
          <w:tblLayout w:type="fixed"/>
          <w:tblCellMar>
            <w:top w:w="0" w:type="dxa"/>
            <w:left w:w="108" w:type="dxa"/>
            <w:bottom w:w="0" w:type="dxa"/>
            <w:right w:w="108" w:type="dxa"/>
          </w:tblCellMar>
        </w:tblPrEx>
        <w:trPr>
          <w:trHeight w:val="356" w:hRule="atLeast"/>
          <w:jc w:val="center"/>
        </w:trPr>
        <w:tc>
          <w:tcPr>
            <w:tcW w:w="76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摇珠编码</w:t>
            </w:r>
          </w:p>
        </w:tc>
        <w:tc>
          <w:tcPr>
            <w:tcW w:w="4229"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管理人名称</w:t>
            </w:r>
          </w:p>
        </w:tc>
        <w:tc>
          <w:tcPr>
            <w:tcW w:w="2589"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第一轮</w:t>
            </w:r>
          </w:p>
        </w:tc>
        <w:tc>
          <w:tcPr>
            <w:tcW w:w="2279"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第二轮</w:t>
            </w:r>
          </w:p>
        </w:tc>
      </w:tr>
      <w:tr>
        <w:tblPrEx>
          <w:tblLayout w:type="fixed"/>
          <w:tblCellMar>
            <w:top w:w="0" w:type="dxa"/>
            <w:left w:w="108" w:type="dxa"/>
            <w:bottom w:w="0" w:type="dxa"/>
            <w:right w:w="108" w:type="dxa"/>
          </w:tblCellMar>
        </w:tblPrEx>
        <w:trPr>
          <w:trHeight w:val="420" w:hRule="atLeast"/>
          <w:jc w:val="center"/>
        </w:trPr>
        <w:tc>
          <w:tcPr>
            <w:tcW w:w="7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Calibri"/>
                <w:b/>
                <w:bCs/>
                <w:color w:val="000000"/>
                <w:kern w:val="0"/>
                <w:sz w:val="22"/>
                <w:szCs w:val="21"/>
              </w:rPr>
            </w:pPr>
          </w:p>
        </w:tc>
        <w:tc>
          <w:tcPr>
            <w:tcW w:w="4229"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Calibri"/>
                <w:b/>
                <w:bCs/>
                <w:color w:val="000000"/>
                <w:kern w:val="0"/>
                <w:sz w:val="22"/>
                <w:szCs w:val="21"/>
              </w:rPr>
            </w:pPr>
          </w:p>
        </w:tc>
        <w:tc>
          <w:tcPr>
            <w:tcW w:w="1452"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法院名称</w:t>
            </w:r>
          </w:p>
        </w:tc>
        <w:tc>
          <w:tcPr>
            <w:tcW w:w="1137"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摇中日期</w:t>
            </w:r>
          </w:p>
        </w:tc>
        <w:tc>
          <w:tcPr>
            <w:tcW w:w="1134"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法院名称</w:t>
            </w:r>
          </w:p>
        </w:tc>
        <w:tc>
          <w:tcPr>
            <w:tcW w:w="1145" w:type="dxa"/>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摇中日期</w:t>
            </w:r>
          </w:p>
        </w:tc>
      </w:tr>
      <w:tr>
        <w:tblPrEx>
          <w:tblLayout w:type="fixed"/>
          <w:tblCellMar>
            <w:top w:w="0" w:type="dxa"/>
            <w:left w:w="108" w:type="dxa"/>
            <w:bottom w:w="0" w:type="dxa"/>
            <w:right w:w="108" w:type="dxa"/>
          </w:tblCellMar>
        </w:tblPrEx>
        <w:trPr>
          <w:trHeight w:val="273"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9</w:t>
            </w:r>
          </w:p>
        </w:tc>
        <w:tc>
          <w:tcPr>
            <w:tcW w:w="4229"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广东共阳律师事务所</w:t>
            </w:r>
          </w:p>
        </w:tc>
        <w:tc>
          <w:tcPr>
            <w:tcW w:w="1452"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25.8.21</w:t>
            </w:r>
          </w:p>
        </w:tc>
        <w:tc>
          <w:tcPr>
            <w:tcW w:w="113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1"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10</w:t>
            </w:r>
          </w:p>
        </w:tc>
        <w:tc>
          <w:tcPr>
            <w:tcW w:w="4229"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广东中元（东区）律师事务所</w:t>
            </w:r>
          </w:p>
        </w:tc>
        <w:tc>
          <w:tcPr>
            <w:tcW w:w="1452"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6"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11</w:t>
            </w:r>
          </w:p>
        </w:tc>
        <w:tc>
          <w:tcPr>
            <w:tcW w:w="4229"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广东广中律师事务所</w:t>
            </w:r>
          </w:p>
        </w:tc>
        <w:tc>
          <w:tcPr>
            <w:tcW w:w="1452"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18"/>
                <w:szCs w:val="18"/>
              </w:rPr>
            </w:pPr>
            <w:r>
              <w:rPr>
                <w:rFonts w:hint="eastAsia" w:ascii="宋体" w:hAnsi="Calibri"/>
                <w:color w:val="000000"/>
                <w:kern w:val="0"/>
                <w:sz w:val="22"/>
                <w:szCs w:val="21"/>
              </w:rPr>
              <w:t>中山二院</w:t>
            </w:r>
          </w:p>
        </w:tc>
        <w:tc>
          <w:tcPr>
            <w:tcW w:w="113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25.4.3</w:t>
            </w:r>
          </w:p>
        </w:tc>
        <w:tc>
          <w:tcPr>
            <w:tcW w:w="113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63"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12</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广东金丰华律师事务所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25.9.11</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5"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13</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广东优游涵泳律师事务所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25.2.25</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4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14</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广东保信律师事务所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25.8.14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4"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15</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北京市盈科（中山）律师事务所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24.12.12</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45"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16</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广州金鹏（中山）律师事务所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25.9.11</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3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广东邦仁律师事务所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25.9.11</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广东宪鼎律师事务所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18"/>
                <w:szCs w:val="18"/>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25.4.3</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广东金桥百信（中山）律师事务所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24.12.5</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广东盈进（中山）律师事务所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广东维纳律师事务所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广东中天粤会计师事务所（特殊普通合伙）中山分所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24.12.12</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广东致合会计事务所有限公司</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25.8.21</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24</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s="宋体"/>
                <w:color w:val="000000"/>
                <w:kern w:val="0"/>
                <w:sz w:val="22"/>
                <w:szCs w:val="22"/>
              </w:rPr>
              <w:t>黄俊（中山市成诺会计师事务所有限公司）</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周敏（中山市成诺会计师事务所有限公司）</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24.12.12</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余婷[北京市盈科（中山）律师事务所]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613"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27</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蔡哲琪[北京市盈科（中山）律师事务所]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25.4.24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41"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28</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吴少芳（中山市成诺会计师事务所有限公司）</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41"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29</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林勋华[广州金鹏（中山）律师事务所]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24.12.12</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bl>
    <w:p>
      <w:pPr>
        <w:spacing w:line="20" w:lineRule="exact"/>
        <w:rPr>
          <w:rFonts w:ascii="仿宋_GB2312" w:hAnsi="华文中宋" w:eastAsia="仿宋_GB2312"/>
          <w:sz w:val="28"/>
          <w:szCs w:val="28"/>
        </w:rPr>
      </w:pPr>
    </w:p>
    <w:p>
      <w:pPr>
        <w:spacing w:line="360" w:lineRule="auto"/>
        <w:jc w:val="center"/>
        <w:rPr>
          <w:rFonts w:ascii="宋体" w:hAnsi="宋体" w:cs="仿宋_GB2312"/>
          <w:sz w:val="36"/>
          <w:szCs w:val="36"/>
        </w:rPr>
      </w:pPr>
      <w:r>
        <w:rPr>
          <w:rFonts w:hint="eastAsia" w:ascii="宋体" w:hAnsi="宋体" w:cs="仿宋_GB2312"/>
          <w:sz w:val="36"/>
          <w:szCs w:val="36"/>
        </w:rPr>
        <w:t>附件2：中山二院摇珠选定破产管理人账户开户银行轮候状态一览表</w:t>
      </w:r>
    </w:p>
    <w:tbl>
      <w:tblPr>
        <w:tblStyle w:val="7"/>
        <w:tblpPr w:leftFromText="180" w:rightFromText="180" w:vertAnchor="text" w:horzAnchor="page" w:tblpX="1140" w:tblpY="401"/>
        <w:tblOverlap w:val="never"/>
        <w:tblW w:w="9960" w:type="dxa"/>
        <w:tblInd w:w="0" w:type="dxa"/>
        <w:tblLayout w:type="fixed"/>
        <w:tblCellMar>
          <w:top w:w="0" w:type="dxa"/>
          <w:left w:w="108" w:type="dxa"/>
          <w:bottom w:w="0" w:type="dxa"/>
          <w:right w:w="108" w:type="dxa"/>
        </w:tblCellMar>
      </w:tblPr>
      <w:tblGrid>
        <w:gridCol w:w="764"/>
        <w:gridCol w:w="4125"/>
        <w:gridCol w:w="1125"/>
        <w:gridCol w:w="1316"/>
        <w:gridCol w:w="1314"/>
        <w:gridCol w:w="1316"/>
      </w:tblGrid>
      <w:tr>
        <w:tblPrEx>
          <w:tblLayout w:type="fixed"/>
          <w:tblCellMar>
            <w:top w:w="0" w:type="dxa"/>
            <w:left w:w="108" w:type="dxa"/>
            <w:bottom w:w="0" w:type="dxa"/>
            <w:right w:w="108" w:type="dxa"/>
          </w:tblCellMar>
        </w:tblPrEx>
        <w:trPr>
          <w:trHeight w:val="672" w:hRule="atLeast"/>
        </w:trPr>
        <w:tc>
          <w:tcPr>
            <w:tcW w:w="9960"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b/>
                <w:bCs/>
                <w:color w:val="000000"/>
                <w:kern w:val="0"/>
                <w:sz w:val="30"/>
                <w:szCs w:val="30"/>
              </w:rPr>
            </w:pPr>
            <w:r>
              <w:rPr>
                <w:rFonts w:hint="eastAsia" w:ascii="仿宋_GB2312" w:hAnsi="华文中宋" w:eastAsia="仿宋_GB2312" w:cs="仿宋_GB2312"/>
                <w:sz w:val="30"/>
                <w:szCs w:val="30"/>
              </w:rPr>
              <w:t>中山市第二人民法院摇珠选定破产案件管理人账户开户银行轮候状态表二</w:t>
            </w:r>
          </w:p>
        </w:tc>
      </w:tr>
      <w:tr>
        <w:tblPrEx>
          <w:tblLayout w:type="fixed"/>
          <w:tblCellMar>
            <w:top w:w="0" w:type="dxa"/>
            <w:left w:w="108" w:type="dxa"/>
            <w:bottom w:w="0" w:type="dxa"/>
            <w:right w:w="108" w:type="dxa"/>
          </w:tblCellMar>
        </w:tblPrEx>
        <w:trPr>
          <w:trHeight w:val="469" w:hRule="atLeast"/>
        </w:trPr>
        <w:tc>
          <w:tcPr>
            <w:tcW w:w="76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摇珠编码</w:t>
            </w:r>
          </w:p>
        </w:tc>
        <w:tc>
          <w:tcPr>
            <w:tcW w:w="4125"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银行名称</w:t>
            </w:r>
          </w:p>
        </w:tc>
        <w:tc>
          <w:tcPr>
            <w:tcW w:w="2441"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第一轮</w:t>
            </w:r>
          </w:p>
        </w:tc>
        <w:tc>
          <w:tcPr>
            <w:tcW w:w="2630"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第二轮</w:t>
            </w:r>
          </w:p>
        </w:tc>
      </w:tr>
      <w:tr>
        <w:tblPrEx>
          <w:tblLayout w:type="fixed"/>
          <w:tblCellMar>
            <w:top w:w="0" w:type="dxa"/>
            <w:left w:w="108" w:type="dxa"/>
            <w:bottom w:w="0" w:type="dxa"/>
            <w:right w:w="108" w:type="dxa"/>
          </w:tblCellMar>
        </w:tblPrEx>
        <w:trPr>
          <w:trHeight w:val="469" w:hRule="atLeast"/>
        </w:trPr>
        <w:tc>
          <w:tcPr>
            <w:tcW w:w="764"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4125"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1125"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二级管理人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316"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c>
          <w:tcPr>
            <w:tcW w:w="1314"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二级管理人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316"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1</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中山农村商业银行股份有限公司</w:t>
            </w:r>
          </w:p>
        </w:tc>
        <w:tc>
          <w:tcPr>
            <w:tcW w:w="1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25.10.16</w:t>
            </w:r>
          </w:p>
        </w:tc>
        <w:tc>
          <w:tcPr>
            <w:tcW w:w="1314"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2</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中国建设银行股份有限公司中山市分行</w:t>
            </w:r>
          </w:p>
        </w:tc>
        <w:tc>
          <w:tcPr>
            <w:tcW w:w="1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25.8.21</w:t>
            </w:r>
          </w:p>
        </w:tc>
        <w:tc>
          <w:tcPr>
            <w:tcW w:w="1314"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3</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中国农业银行股份有限公司中山分行</w:t>
            </w:r>
          </w:p>
        </w:tc>
        <w:tc>
          <w:tcPr>
            <w:tcW w:w="1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tabs>
                <w:tab w:val="left" w:pos="208"/>
                <w:tab w:val="center" w:pos="610"/>
              </w:tabs>
              <w:jc w:val="left"/>
              <w:rPr>
                <w:rFonts w:ascii="宋体"/>
                <w:color w:val="000000"/>
                <w:kern w:val="0"/>
                <w:sz w:val="22"/>
              </w:rPr>
            </w:pPr>
            <w:r>
              <w:rPr>
                <w:rFonts w:hint="eastAsia" w:ascii="宋体"/>
                <w:color w:val="000000"/>
                <w:kern w:val="0"/>
                <w:sz w:val="22"/>
              </w:rPr>
              <w:tab/>
            </w:r>
            <w:r>
              <w:rPr>
                <w:rFonts w:hint="eastAsia" w:ascii="宋体"/>
                <w:color w:val="000000"/>
                <w:kern w:val="0"/>
                <w:sz w:val="22"/>
              </w:rPr>
              <w:t>24.</w:t>
            </w:r>
            <w:r>
              <w:rPr>
                <w:rFonts w:hint="eastAsia" w:ascii="宋体"/>
                <w:color w:val="000000"/>
                <w:kern w:val="0"/>
                <w:sz w:val="22"/>
              </w:rPr>
              <w:tab/>
            </w:r>
            <w:r>
              <w:rPr>
                <w:rFonts w:hint="eastAsia" w:ascii="宋体"/>
                <w:color w:val="000000"/>
                <w:kern w:val="0"/>
                <w:sz w:val="22"/>
              </w:rPr>
              <w:t>11.14</w:t>
            </w:r>
          </w:p>
        </w:tc>
        <w:tc>
          <w:tcPr>
            <w:tcW w:w="1314"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4</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中国银行股份有限公司中山分行</w:t>
            </w:r>
          </w:p>
        </w:tc>
        <w:tc>
          <w:tcPr>
            <w:tcW w:w="1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4"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5</w:t>
            </w:r>
          </w:p>
        </w:tc>
        <w:tc>
          <w:tcPr>
            <w:tcW w:w="41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中国工商银行有限公司中山分行</w:t>
            </w:r>
          </w:p>
        </w:tc>
        <w:tc>
          <w:tcPr>
            <w:tcW w:w="1125"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r>
              <w:rPr>
                <w:rFonts w:ascii="Arial" w:hAnsi="Arial" w:cs="Arial"/>
                <w:color w:val="000000"/>
                <w:kern w:val="0"/>
                <w:sz w:val="22"/>
              </w:rPr>
              <w:t>√</w:t>
            </w:r>
          </w:p>
        </w:tc>
        <w:tc>
          <w:tcPr>
            <w:tcW w:w="1316" w:type="dxa"/>
            <w:tcBorders>
              <w:top w:val="single" w:color="auto" w:sz="4" w:space="0"/>
              <w:left w:val="nil"/>
              <w:bottom w:val="single" w:color="auto" w:sz="4" w:space="0"/>
              <w:right w:val="single" w:color="auto" w:sz="4" w:space="0"/>
            </w:tcBorders>
            <w:vAlign w:val="center"/>
          </w:tcPr>
          <w:p>
            <w:pPr>
              <w:widowControl/>
              <w:tabs>
                <w:tab w:val="left" w:pos="419"/>
              </w:tabs>
              <w:jc w:val="left"/>
              <w:rPr>
                <w:rFonts w:hint="eastAsia" w:ascii="宋体" w:eastAsia="宋体"/>
                <w:color w:val="000000"/>
                <w:kern w:val="0"/>
                <w:sz w:val="22"/>
                <w:lang w:eastAsia="zh-CN"/>
              </w:rPr>
            </w:pPr>
            <w:r>
              <w:rPr>
                <w:rFonts w:hint="eastAsia" w:ascii="宋体"/>
                <w:color w:val="000000"/>
                <w:kern w:val="0"/>
                <w:sz w:val="22"/>
                <w:lang w:val="en-US" w:eastAsia="zh-CN"/>
              </w:rPr>
              <w:t>25.10.23</w:t>
            </w:r>
          </w:p>
        </w:tc>
        <w:tc>
          <w:tcPr>
            <w:tcW w:w="131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p>
        </w:tc>
      </w:tr>
    </w:tbl>
    <w:p/>
    <w:tbl>
      <w:tblPr>
        <w:tblStyle w:val="7"/>
        <w:tblpPr w:leftFromText="180" w:rightFromText="180" w:vertAnchor="text" w:horzAnchor="page" w:tblpX="1073" w:tblpY="3909"/>
        <w:tblOverlap w:val="never"/>
        <w:tblW w:w="9960" w:type="dxa"/>
        <w:tblInd w:w="0" w:type="dxa"/>
        <w:tblLayout w:type="fixed"/>
        <w:tblCellMar>
          <w:top w:w="0" w:type="dxa"/>
          <w:left w:w="108" w:type="dxa"/>
          <w:bottom w:w="0" w:type="dxa"/>
          <w:right w:w="108" w:type="dxa"/>
        </w:tblCellMar>
      </w:tblPr>
      <w:tblGrid>
        <w:gridCol w:w="764"/>
        <w:gridCol w:w="4125"/>
        <w:gridCol w:w="1125"/>
        <w:gridCol w:w="1160"/>
        <w:gridCol w:w="1470"/>
        <w:gridCol w:w="1316"/>
      </w:tblGrid>
      <w:tr>
        <w:tblPrEx>
          <w:tblLayout w:type="fixed"/>
          <w:tblCellMar>
            <w:top w:w="0" w:type="dxa"/>
            <w:left w:w="108" w:type="dxa"/>
            <w:bottom w:w="0" w:type="dxa"/>
            <w:right w:w="108" w:type="dxa"/>
          </w:tblCellMar>
        </w:tblPrEx>
        <w:trPr>
          <w:trHeight w:val="672" w:hRule="atLeast"/>
        </w:trPr>
        <w:tc>
          <w:tcPr>
            <w:tcW w:w="9960"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b/>
                <w:bCs/>
                <w:color w:val="000000"/>
                <w:kern w:val="0"/>
                <w:sz w:val="30"/>
                <w:szCs w:val="30"/>
              </w:rPr>
            </w:pPr>
            <w:r>
              <w:rPr>
                <w:rFonts w:hint="eastAsia" w:ascii="仿宋_GB2312" w:hAnsi="华文中宋" w:eastAsia="仿宋_GB2312" w:cs="仿宋_GB2312"/>
                <w:sz w:val="30"/>
                <w:szCs w:val="30"/>
              </w:rPr>
              <w:t>中山市第二人民法院摇珠选定破产案件管理人账户开户银行轮候状态表三</w:t>
            </w:r>
          </w:p>
        </w:tc>
      </w:tr>
      <w:tr>
        <w:tblPrEx>
          <w:tblLayout w:type="fixed"/>
          <w:tblCellMar>
            <w:top w:w="0" w:type="dxa"/>
            <w:left w:w="108" w:type="dxa"/>
            <w:bottom w:w="0" w:type="dxa"/>
            <w:right w:w="108" w:type="dxa"/>
          </w:tblCellMar>
        </w:tblPrEx>
        <w:trPr>
          <w:trHeight w:val="469" w:hRule="atLeast"/>
        </w:trPr>
        <w:tc>
          <w:tcPr>
            <w:tcW w:w="76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摇珠编码</w:t>
            </w:r>
          </w:p>
        </w:tc>
        <w:tc>
          <w:tcPr>
            <w:tcW w:w="4125"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银行名称</w:t>
            </w:r>
          </w:p>
        </w:tc>
        <w:tc>
          <w:tcPr>
            <w:tcW w:w="2285"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第五轮</w:t>
            </w:r>
          </w:p>
        </w:tc>
        <w:tc>
          <w:tcPr>
            <w:tcW w:w="2786"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第六轮</w:t>
            </w:r>
          </w:p>
        </w:tc>
      </w:tr>
      <w:tr>
        <w:tblPrEx>
          <w:tblLayout w:type="fixed"/>
          <w:tblCellMar>
            <w:top w:w="0" w:type="dxa"/>
            <w:left w:w="108" w:type="dxa"/>
            <w:bottom w:w="0" w:type="dxa"/>
            <w:right w:w="108" w:type="dxa"/>
          </w:tblCellMar>
        </w:tblPrEx>
        <w:trPr>
          <w:trHeight w:val="469" w:hRule="atLeast"/>
        </w:trPr>
        <w:tc>
          <w:tcPr>
            <w:tcW w:w="764"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4125"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1125"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三级管理人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160"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c>
          <w:tcPr>
            <w:tcW w:w="1470"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三级管理人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316"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1</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中山农村商业银行股份有限公司</w:t>
            </w:r>
          </w:p>
        </w:tc>
        <w:tc>
          <w:tcPr>
            <w:tcW w:w="1125" w:type="dxa"/>
            <w:tcBorders>
              <w:top w:val="nil"/>
              <w:left w:val="nil"/>
              <w:bottom w:val="single" w:color="auto" w:sz="4" w:space="0"/>
              <w:right w:val="single" w:color="auto" w:sz="4" w:space="0"/>
            </w:tcBorders>
          </w:tcPr>
          <w:p>
            <w:pPr>
              <w:jc w:val="center"/>
              <w:rPr>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24.12.12</w:t>
            </w:r>
          </w:p>
        </w:tc>
        <w:tc>
          <w:tcPr>
            <w:tcW w:w="1470" w:type="dxa"/>
            <w:tcBorders>
              <w:top w:val="nil"/>
              <w:left w:val="nil"/>
              <w:bottom w:val="single" w:color="auto" w:sz="4" w:space="0"/>
              <w:right w:val="single" w:color="auto" w:sz="4" w:space="0"/>
            </w:tcBorders>
          </w:tcPr>
          <w:p>
            <w:pPr>
              <w:jc w:val="cente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25.7.10</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2</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中国建设银行股份有限公司中山市分行</w:t>
            </w:r>
          </w:p>
        </w:tc>
        <w:tc>
          <w:tcPr>
            <w:tcW w:w="1125" w:type="dxa"/>
            <w:tcBorders>
              <w:top w:val="nil"/>
              <w:left w:val="nil"/>
              <w:bottom w:val="single" w:color="auto" w:sz="4" w:space="0"/>
              <w:right w:val="single" w:color="auto" w:sz="4" w:space="0"/>
            </w:tcBorders>
          </w:tcPr>
          <w:p>
            <w:pPr>
              <w:jc w:val="center"/>
              <w:rPr>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24.12.12</w:t>
            </w:r>
          </w:p>
        </w:tc>
        <w:tc>
          <w:tcPr>
            <w:tcW w:w="1470" w:type="dxa"/>
            <w:tcBorders>
              <w:top w:val="nil"/>
              <w:left w:val="nil"/>
              <w:bottom w:val="single" w:color="auto" w:sz="4" w:space="0"/>
              <w:right w:val="single" w:color="auto" w:sz="4" w:space="0"/>
            </w:tcBorders>
          </w:tcPr>
          <w:p>
            <w:pPr>
              <w:jc w:val="cente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25.8.14</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3</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中国农业银行股份有限公司中山分行</w:t>
            </w:r>
          </w:p>
        </w:tc>
        <w:tc>
          <w:tcPr>
            <w:tcW w:w="1125" w:type="dxa"/>
            <w:tcBorders>
              <w:top w:val="nil"/>
              <w:left w:val="nil"/>
              <w:bottom w:val="single" w:color="auto" w:sz="4" w:space="0"/>
              <w:right w:val="single" w:color="auto" w:sz="4" w:space="0"/>
            </w:tcBorders>
          </w:tcPr>
          <w:p>
            <w:pPr>
              <w:jc w:val="center"/>
              <w:rPr>
                <w:rFonts w:ascii="宋体"/>
                <w:color w:val="000000"/>
                <w:kern w:val="0"/>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24.12.12</w:t>
            </w:r>
          </w:p>
        </w:tc>
        <w:tc>
          <w:tcPr>
            <w:tcW w:w="1470" w:type="dxa"/>
            <w:tcBorders>
              <w:top w:val="nil"/>
              <w:left w:val="nil"/>
              <w:bottom w:val="single" w:color="auto" w:sz="4" w:space="0"/>
              <w:right w:val="single" w:color="auto" w:sz="4" w:space="0"/>
            </w:tcBorders>
            <w:vAlign w:val="center"/>
          </w:tcPr>
          <w:p>
            <w:pPr>
              <w:widowControl/>
              <w:jc w:val="cente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25.4.23</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4</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中国银行股份有限公司中山分行</w:t>
            </w:r>
          </w:p>
        </w:tc>
        <w:tc>
          <w:tcPr>
            <w:tcW w:w="1125" w:type="dxa"/>
            <w:tcBorders>
              <w:top w:val="nil"/>
              <w:left w:val="nil"/>
              <w:bottom w:val="single" w:color="auto" w:sz="4" w:space="0"/>
              <w:right w:val="single" w:color="auto" w:sz="4" w:space="0"/>
            </w:tcBorders>
          </w:tcPr>
          <w:p>
            <w:pPr>
              <w:jc w:val="cente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25.2.25</w:t>
            </w:r>
          </w:p>
        </w:tc>
        <w:tc>
          <w:tcPr>
            <w:tcW w:w="1470" w:type="dxa"/>
            <w:tcBorders>
              <w:top w:val="nil"/>
              <w:left w:val="nil"/>
              <w:bottom w:val="single" w:color="auto" w:sz="4" w:space="0"/>
              <w:right w:val="single" w:color="auto" w:sz="4" w:space="0"/>
            </w:tcBorders>
          </w:tcPr>
          <w:p>
            <w:pPr>
              <w:jc w:val="center"/>
              <w:rPr>
                <w:highlight w:val="yellow"/>
              </w:rP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25.4.3</w:t>
            </w:r>
          </w:p>
        </w:tc>
      </w:tr>
      <w:tr>
        <w:tblPrEx>
          <w:tblLayout w:type="fixed"/>
          <w:tblCellMar>
            <w:top w:w="0" w:type="dxa"/>
            <w:left w:w="108" w:type="dxa"/>
            <w:bottom w:w="0" w:type="dxa"/>
            <w:right w:w="108" w:type="dxa"/>
          </w:tblCellMar>
        </w:tblPrEx>
        <w:trPr>
          <w:trHeight w:val="270" w:hRule="atLeast"/>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5</w:t>
            </w:r>
          </w:p>
        </w:tc>
        <w:tc>
          <w:tcPr>
            <w:tcW w:w="41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中国工商银行有限公司中山分行</w:t>
            </w:r>
          </w:p>
        </w:tc>
        <w:tc>
          <w:tcPr>
            <w:tcW w:w="1125" w:type="dxa"/>
            <w:tcBorders>
              <w:top w:val="single" w:color="auto" w:sz="4" w:space="0"/>
              <w:left w:val="nil"/>
              <w:bottom w:val="single" w:color="auto" w:sz="4" w:space="0"/>
              <w:right w:val="single" w:color="auto" w:sz="4" w:space="0"/>
            </w:tcBorders>
          </w:tcPr>
          <w:p>
            <w:pPr>
              <w:jc w:val="center"/>
            </w:pPr>
            <w:r>
              <w:rPr>
                <w:rFonts w:ascii="Arial" w:hAnsi="Arial" w:cs="Arial"/>
                <w:color w:val="000000"/>
                <w:kern w:val="0"/>
                <w:sz w:val="22"/>
              </w:rPr>
              <w:t>√</w:t>
            </w:r>
          </w:p>
        </w:tc>
        <w:tc>
          <w:tcPr>
            <w:tcW w:w="1160"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25.1.16</w:t>
            </w:r>
          </w:p>
        </w:tc>
        <w:tc>
          <w:tcPr>
            <w:tcW w:w="1470" w:type="dxa"/>
            <w:tcBorders>
              <w:top w:val="single" w:color="auto" w:sz="4" w:space="0"/>
              <w:left w:val="nil"/>
              <w:bottom w:val="single" w:color="auto" w:sz="4" w:space="0"/>
              <w:right w:val="single" w:color="auto" w:sz="4" w:space="0"/>
            </w:tcBorders>
          </w:tcPr>
          <w:p>
            <w:pPr>
              <w:jc w:val="center"/>
              <w:rPr>
                <w:highlight w:val="yellow"/>
              </w:rPr>
            </w:pPr>
            <w:r>
              <w:rPr>
                <w:rFonts w:ascii="Arial" w:hAnsi="Arial" w:cs="Arial"/>
                <w:color w:val="000000"/>
                <w:kern w:val="0"/>
                <w:sz w:val="22"/>
              </w:rPr>
              <w:t>√</w:t>
            </w:r>
          </w:p>
        </w:tc>
        <w:tc>
          <w:tcPr>
            <w:tcW w:w="1316"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25.4.3</w:t>
            </w:r>
          </w:p>
        </w:tc>
      </w:tr>
    </w:tbl>
    <w:tbl>
      <w:tblPr>
        <w:tblStyle w:val="7"/>
        <w:tblpPr w:leftFromText="180" w:rightFromText="180" w:vertAnchor="text" w:horzAnchor="page" w:tblpX="1073" w:tblpY="408"/>
        <w:tblOverlap w:val="never"/>
        <w:tblW w:w="9960" w:type="dxa"/>
        <w:tblInd w:w="0" w:type="dxa"/>
        <w:tblLayout w:type="fixed"/>
        <w:tblCellMar>
          <w:top w:w="0" w:type="dxa"/>
          <w:left w:w="108" w:type="dxa"/>
          <w:bottom w:w="0" w:type="dxa"/>
          <w:right w:w="108" w:type="dxa"/>
        </w:tblCellMar>
      </w:tblPr>
      <w:tblGrid>
        <w:gridCol w:w="764"/>
        <w:gridCol w:w="4125"/>
        <w:gridCol w:w="1125"/>
        <w:gridCol w:w="1160"/>
        <w:gridCol w:w="1470"/>
        <w:gridCol w:w="1316"/>
      </w:tblGrid>
      <w:tr>
        <w:tblPrEx>
          <w:tblLayout w:type="fixed"/>
          <w:tblCellMar>
            <w:top w:w="0" w:type="dxa"/>
            <w:left w:w="108" w:type="dxa"/>
            <w:bottom w:w="0" w:type="dxa"/>
            <w:right w:w="108" w:type="dxa"/>
          </w:tblCellMar>
        </w:tblPrEx>
        <w:trPr>
          <w:trHeight w:val="672" w:hRule="atLeast"/>
        </w:trPr>
        <w:tc>
          <w:tcPr>
            <w:tcW w:w="9960"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b/>
                <w:bCs/>
                <w:color w:val="000000"/>
                <w:kern w:val="0"/>
                <w:sz w:val="30"/>
                <w:szCs w:val="30"/>
              </w:rPr>
            </w:pPr>
            <w:r>
              <w:rPr>
                <w:rFonts w:hint="eastAsia" w:ascii="仿宋_GB2312" w:hAnsi="华文中宋" w:eastAsia="仿宋_GB2312" w:cs="仿宋_GB2312"/>
                <w:sz w:val="30"/>
                <w:szCs w:val="30"/>
              </w:rPr>
              <w:t>中山市第二人民法院摇珠选定破产案件管理人账户开户银行轮候状态表三</w:t>
            </w:r>
          </w:p>
        </w:tc>
      </w:tr>
      <w:tr>
        <w:tblPrEx>
          <w:tblLayout w:type="fixed"/>
          <w:tblCellMar>
            <w:top w:w="0" w:type="dxa"/>
            <w:left w:w="108" w:type="dxa"/>
            <w:bottom w:w="0" w:type="dxa"/>
            <w:right w:w="108" w:type="dxa"/>
          </w:tblCellMar>
        </w:tblPrEx>
        <w:trPr>
          <w:trHeight w:val="469" w:hRule="atLeast"/>
        </w:trPr>
        <w:tc>
          <w:tcPr>
            <w:tcW w:w="76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摇珠编码</w:t>
            </w:r>
          </w:p>
        </w:tc>
        <w:tc>
          <w:tcPr>
            <w:tcW w:w="4125"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银行名称</w:t>
            </w:r>
          </w:p>
        </w:tc>
        <w:tc>
          <w:tcPr>
            <w:tcW w:w="2285"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第七轮</w:t>
            </w:r>
          </w:p>
        </w:tc>
        <w:tc>
          <w:tcPr>
            <w:tcW w:w="2786"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第八轮</w:t>
            </w:r>
          </w:p>
        </w:tc>
      </w:tr>
      <w:tr>
        <w:tblPrEx>
          <w:tblLayout w:type="fixed"/>
          <w:tblCellMar>
            <w:top w:w="0" w:type="dxa"/>
            <w:left w:w="108" w:type="dxa"/>
            <w:bottom w:w="0" w:type="dxa"/>
            <w:right w:w="108" w:type="dxa"/>
          </w:tblCellMar>
        </w:tblPrEx>
        <w:trPr>
          <w:trHeight w:val="469" w:hRule="atLeast"/>
        </w:trPr>
        <w:tc>
          <w:tcPr>
            <w:tcW w:w="764"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4125"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1125"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三级管理人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160"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c>
          <w:tcPr>
            <w:tcW w:w="1470"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三级管理人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316"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1</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中山农村商业银行股份有限公司</w:t>
            </w:r>
          </w:p>
        </w:tc>
        <w:tc>
          <w:tcPr>
            <w:tcW w:w="1125" w:type="dxa"/>
            <w:tcBorders>
              <w:top w:val="nil"/>
              <w:left w:val="nil"/>
              <w:bottom w:val="single" w:color="auto" w:sz="4" w:space="0"/>
              <w:right w:val="single" w:color="auto" w:sz="4" w:space="0"/>
            </w:tcBorders>
          </w:tcPr>
          <w:p>
            <w:pPr>
              <w:jc w:val="center"/>
              <w:rPr>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25.8.21</w:t>
            </w:r>
          </w:p>
        </w:tc>
        <w:tc>
          <w:tcPr>
            <w:tcW w:w="1470" w:type="dxa"/>
            <w:tcBorders>
              <w:top w:val="nil"/>
              <w:left w:val="nil"/>
              <w:bottom w:val="single" w:color="auto" w:sz="4" w:space="0"/>
              <w:right w:val="single" w:color="auto" w:sz="4" w:space="0"/>
            </w:tcBorders>
          </w:tcPr>
          <w:p>
            <w:pPr>
              <w:jc w:val="cente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2</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中国建设银行股份有限公司中山市分行</w:t>
            </w:r>
          </w:p>
        </w:tc>
        <w:tc>
          <w:tcPr>
            <w:tcW w:w="1125" w:type="dxa"/>
            <w:tcBorders>
              <w:top w:val="nil"/>
              <w:left w:val="nil"/>
              <w:bottom w:val="single" w:color="auto" w:sz="4" w:space="0"/>
              <w:right w:val="single" w:color="auto" w:sz="4" w:space="0"/>
            </w:tcBorders>
          </w:tcPr>
          <w:p>
            <w:pPr>
              <w:jc w:val="center"/>
              <w:rPr>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25.8.21</w:t>
            </w:r>
          </w:p>
        </w:tc>
        <w:tc>
          <w:tcPr>
            <w:tcW w:w="1470" w:type="dxa"/>
            <w:tcBorders>
              <w:top w:val="nil"/>
              <w:left w:val="nil"/>
              <w:bottom w:val="single" w:color="auto" w:sz="4" w:space="0"/>
              <w:right w:val="single" w:color="auto" w:sz="4" w:space="0"/>
            </w:tcBorders>
          </w:tcPr>
          <w:p>
            <w:pPr>
              <w:jc w:val="cente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25.9.11</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3</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中国农业银行股份有限公司中山分行</w:t>
            </w:r>
          </w:p>
        </w:tc>
        <w:tc>
          <w:tcPr>
            <w:tcW w:w="1125" w:type="dxa"/>
            <w:tcBorders>
              <w:top w:val="nil"/>
              <w:left w:val="nil"/>
              <w:bottom w:val="single" w:color="auto" w:sz="4" w:space="0"/>
              <w:right w:val="single" w:color="auto" w:sz="4" w:space="0"/>
            </w:tcBorders>
          </w:tcPr>
          <w:p>
            <w:pPr>
              <w:jc w:val="center"/>
              <w:rPr>
                <w:rFonts w:ascii="宋体"/>
                <w:color w:val="000000"/>
                <w:kern w:val="0"/>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25.9.11</w:t>
            </w:r>
          </w:p>
        </w:tc>
        <w:tc>
          <w:tcPr>
            <w:tcW w:w="1470" w:type="dxa"/>
            <w:tcBorders>
              <w:top w:val="nil"/>
              <w:left w:val="nil"/>
              <w:bottom w:val="single" w:color="auto" w:sz="4" w:space="0"/>
              <w:right w:val="single" w:color="auto" w:sz="4" w:space="0"/>
            </w:tcBorders>
            <w:vAlign w:val="center"/>
          </w:tcPr>
          <w:p>
            <w:pPr>
              <w:widowControl/>
              <w:jc w:val="cente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4</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中国银行股份有限公司中山分行</w:t>
            </w:r>
          </w:p>
        </w:tc>
        <w:tc>
          <w:tcPr>
            <w:tcW w:w="1125" w:type="dxa"/>
            <w:tcBorders>
              <w:top w:val="nil"/>
              <w:left w:val="nil"/>
              <w:bottom w:val="single" w:color="auto" w:sz="4" w:space="0"/>
              <w:right w:val="single" w:color="auto" w:sz="4" w:space="0"/>
            </w:tcBorders>
          </w:tcPr>
          <w:p>
            <w:pPr>
              <w:jc w:val="cente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b/>
                <w:color w:val="000000"/>
                <w:kern w:val="0"/>
                <w:sz w:val="22"/>
              </w:rPr>
            </w:pPr>
            <w:r>
              <w:rPr>
                <w:rFonts w:hint="eastAsia" w:ascii="宋体"/>
                <w:color w:val="000000"/>
                <w:kern w:val="0"/>
                <w:sz w:val="22"/>
              </w:rPr>
              <w:t>25.9.11</w:t>
            </w:r>
          </w:p>
        </w:tc>
        <w:tc>
          <w:tcPr>
            <w:tcW w:w="1470" w:type="dxa"/>
            <w:tcBorders>
              <w:top w:val="nil"/>
              <w:left w:val="nil"/>
              <w:bottom w:val="single" w:color="auto" w:sz="4" w:space="0"/>
              <w:right w:val="single" w:color="auto" w:sz="4" w:space="0"/>
            </w:tcBorders>
          </w:tcPr>
          <w:p>
            <w:pPr>
              <w:jc w:val="center"/>
              <w:rPr>
                <w:highlight w:val="yellow"/>
              </w:rP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5</w:t>
            </w:r>
          </w:p>
        </w:tc>
        <w:tc>
          <w:tcPr>
            <w:tcW w:w="41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中国工商银行有限公司中山分行</w:t>
            </w:r>
          </w:p>
        </w:tc>
        <w:tc>
          <w:tcPr>
            <w:tcW w:w="1125" w:type="dxa"/>
            <w:tcBorders>
              <w:top w:val="single" w:color="auto" w:sz="4" w:space="0"/>
              <w:left w:val="nil"/>
              <w:bottom w:val="single" w:color="auto" w:sz="4" w:space="0"/>
              <w:right w:val="single" w:color="auto" w:sz="4" w:space="0"/>
            </w:tcBorders>
          </w:tcPr>
          <w:p>
            <w:pPr>
              <w:jc w:val="center"/>
            </w:pPr>
            <w:r>
              <w:rPr>
                <w:rFonts w:ascii="Arial" w:hAnsi="Arial" w:cs="Arial"/>
                <w:color w:val="000000"/>
                <w:kern w:val="0"/>
                <w:sz w:val="22"/>
              </w:rPr>
              <w:t>√</w:t>
            </w:r>
          </w:p>
        </w:tc>
        <w:tc>
          <w:tcPr>
            <w:tcW w:w="1160" w:type="dxa"/>
            <w:tcBorders>
              <w:top w:val="single" w:color="auto" w:sz="4" w:space="0"/>
              <w:left w:val="nil"/>
              <w:bottom w:val="single" w:color="auto" w:sz="4" w:space="0"/>
              <w:right w:val="single" w:color="auto" w:sz="4" w:space="0"/>
            </w:tcBorders>
            <w:vAlign w:val="center"/>
          </w:tcPr>
          <w:p>
            <w:pPr>
              <w:widowControl/>
              <w:jc w:val="center"/>
              <w:rPr>
                <w:rFonts w:ascii="宋体"/>
                <w:b/>
                <w:color w:val="000000"/>
                <w:kern w:val="0"/>
                <w:sz w:val="22"/>
              </w:rPr>
            </w:pPr>
            <w:r>
              <w:rPr>
                <w:rFonts w:hint="eastAsia" w:ascii="宋体"/>
                <w:color w:val="000000"/>
                <w:kern w:val="0"/>
                <w:sz w:val="22"/>
              </w:rPr>
              <w:t>25.8.21</w:t>
            </w:r>
          </w:p>
        </w:tc>
        <w:tc>
          <w:tcPr>
            <w:tcW w:w="1470" w:type="dxa"/>
            <w:tcBorders>
              <w:top w:val="single" w:color="auto" w:sz="4" w:space="0"/>
              <w:left w:val="nil"/>
              <w:bottom w:val="single" w:color="auto" w:sz="4" w:space="0"/>
              <w:right w:val="single" w:color="auto" w:sz="4" w:space="0"/>
            </w:tcBorders>
          </w:tcPr>
          <w:p>
            <w:pPr>
              <w:jc w:val="center"/>
              <w:rPr>
                <w:highlight w:val="yellow"/>
              </w:rPr>
            </w:pPr>
          </w:p>
        </w:tc>
        <w:tc>
          <w:tcPr>
            <w:tcW w:w="1316"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p>
        </w:tc>
      </w:tr>
    </w:tbl>
    <w:p>
      <w:pPr>
        <w:spacing w:line="360" w:lineRule="auto"/>
        <w:ind w:firstLine="600"/>
        <w:rPr>
          <w:rFonts w:ascii="仿宋_GB2312" w:hAnsi="华文中宋" w:eastAsia="仿宋_GB2312" w:cs="仿宋_GB2312"/>
          <w:sz w:val="30"/>
          <w:szCs w:val="30"/>
        </w:rPr>
      </w:pPr>
    </w:p>
    <w:sectPr>
      <w:footerReference r:id="rId3" w:type="default"/>
      <w:pgSz w:w="11906" w:h="16838"/>
      <w:pgMar w:top="1361" w:right="1797" w:bottom="136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68238"/>
    </w:sdtPr>
    <w:sdtContent>
      <w:p>
        <w:pPr>
          <w:pStyle w:val="4"/>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C3A69"/>
    <w:rsid w:val="00021DEC"/>
    <w:rsid w:val="00050002"/>
    <w:rsid w:val="000B50E0"/>
    <w:rsid w:val="000E272B"/>
    <w:rsid w:val="001D483C"/>
    <w:rsid w:val="00245C36"/>
    <w:rsid w:val="003F10C5"/>
    <w:rsid w:val="004D2436"/>
    <w:rsid w:val="00656413"/>
    <w:rsid w:val="008D155F"/>
    <w:rsid w:val="008D1953"/>
    <w:rsid w:val="00997B20"/>
    <w:rsid w:val="00A93D43"/>
    <w:rsid w:val="00AD754D"/>
    <w:rsid w:val="00B519B9"/>
    <w:rsid w:val="00C37205"/>
    <w:rsid w:val="00C53053"/>
    <w:rsid w:val="00C83617"/>
    <w:rsid w:val="00C84D98"/>
    <w:rsid w:val="00CA35E3"/>
    <w:rsid w:val="00D078BB"/>
    <w:rsid w:val="00D92427"/>
    <w:rsid w:val="00DC3A69"/>
    <w:rsid w:val="00E02FF6"/>
    <w:rsid w:val="00FA377E"/>
    <w:rsid w:val="01350EE6"/>
    <w:rsid w:val="02EB1CA3"/>
    <w:rsid w:val="03820612"/>
    <w:rsid w:val="04067BEE"/>
    <w:rsid w:val="04473668"/>
    <w:rsid w:val="0F7E75FD"/>
    <w:rsid w:val="166718E9"/>
    <w:rsid w:val="173F2E01"/>
    <w:rsid w:val="1FF4765C"/>
    <w:rsid w:val="203D42D2"/>
    <w:rsid w:val="241B1795"/>
    <w:rsid w:val="27EA1603"/>
    <w:rsid w:val="334A1E07"/>
    <w:rsid w:val="3572601F"/>
    <w:rsid w:val="3BAD211C"/>
    <w:rsid w:val="43312AC7"/>
    <w:rsid w:val="4749638A"/>
    <w:rsid w:val="47F17585"/>
    <w:rsid w:val="505C7350"/>
    <w:rsid w:val="50F61181"/>
    <w:rsid w:val="59C53FB7"/>
    <w:rsid w:val="5A025E8A"/>
    <w:rsid w:val="64CF6C52"/>
    <w:rsid w:val="68921FD2"/>
    <w:rsid w:val="6C9A2116"/>
    <w:rsid w:val="6D4613A6"/>
    <w:rsid w:val="718F605B"/>
    <w:rsid w:val="71E81C6F"/>
    <w:rsid w:val="75C33B79"/>
    <w:rsid w:val="76353599"/>
    <w:rsid w:val="79FD5A84"/>
    <w:rsid w:val="7AB939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10"/>
    <w:unhideWhenUsed/>
    <w:qFormat/>
    <w:uiPriority w:val="99"/>
    <w:pPr>
      <w:ind w:left="100" w:leftChars="2500"/>
    </w:pPr>
  </w:style>
  <w:style w:type="paragraph" w:styleId="3">
    <w:name w:val="Balloon Text"/>
    <w:basedOn w:val="1"/>
    <w:link w:val="11"/>
    <w:unhideWhenUsed/>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6"/>
    <w:link w:val="5"/>
    <w:semiHidden/>
    <w:qFormat/>
    <w:uiPriority w:val="99"/>
    <w:rPr>
      <w:sz w:val="18"/>
      <w:szCs w:val="18"/>
    </w:rPr>
  </w:style>
  <w:style w:type="character" w:customStyle="1" w:styleId="9">
    <w:name w:val="页脚 Char"/>
    <w:basedOn w:val="6"/>
    <w:link w:val="4"/>
    <w:qFormat/>
    <w:uiPriority w:val="99"/>
    <w:rPr>
      <w:sz w:val="18"/>
      <w:szCs w:val="18"/>
    </w:rPr>
  </w:style>
  <w:style w:type="character" w:customStyle="1" w:styleId="10">
    <w:name w:val="日期 Char"/>
    <w:basedOn w:val="6"/>
    <w:link w:val="2"/>
    <w:semiHidden/>
    <w:qFormat/>
    <w:uiPriority w:val="99"/>
    <w:rPr>
      <w:rFonts w:ascii="Times New Roman" w:hAnsi="Times New Roman" w:eastAsia="宋体" w:cs="Times New Roman"/>
      <w:szCs w:val="24"/>
    </w:rPr>
  </w:style>
  <w:style w:type="character" w:customStyle="1" w:styleId="11">
    <w:name w:val="批注框文本 Char"/>
    <w:basedOn w:val="6"/>
    <w:link w:val="3"/>
    <w:semiHidden/>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280</Words>
  <Characters>1598</Characters>
  <Lines>13</Lines>
  <Paragraphs>3</Paragraphs>
  <TotalTime>4</TotalTime>
  <ScaleCrop>false</ScaleCrop>
  <LinksUpToDate>false</LinksUpToDate>
  <CharactersWithSpaces>1875</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2024-10-25T00:36:00Z</dcterms:created>
  <dc:creator>谢静茹</dc:creator>
  <cp:lastModifiedBy>lenovo</cp:lastModifiedBy>
  <cp:lastPrinted>2025-04-03T02:29:00Z</cp:lastPrinted>
  <dcterms:modified xsi:type="dcterms:W3CDTF">2025-10-23T02:16:46Z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